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71" w:rsidRDefault="00413071" w:rsidP="00EE0CE9">
      <w:pPr>
        <w:pStyle w:val="01CoverPageMainHead"/>
        <w:ind w:left="-615"/>
      </w:pPr>
      <w:r>
        <w:t xml:space="preserve">Grammar Module </w:t>
      </w:r>
      <w:r w:rsidR="009A7B70">
        <w:t>2</w:t>
      </w:r>
      <w:r>
        <w:t xml:space="preserve"> (</w:t>
      </w:r>
      <w:r w:rsidR="00913C55">
        <w:t>GM</w:t>
      </w:r>
      <w:r w:rsidR="009A7B70">
        <w:t>2</w:t>
      </w:r>
      <w:r>
        <w:t>)</w:t>
      </w:r>
    </w:p>
    <w:p w:rsidR="0036173B" w:rsidRPr="00622220" w:rsidRDefault="004D59C4" w:rsidP="00622220">
      <w:pPr>
        <w:pStyle w:val="01CoverPageMainHead"/>
        <w:ind w:left="-615"/>
        <w:rPr>
          <w:sz w:val="32"/>
        </w:rPr>
        <w:sectPr w:rsidR="0036173B" w:rsidRPr="00622220">
          <w:headerReference w:type="even" r:id="rId9"/>
          <w:headerReference w:type="default" r:id="rId10"/>
          <w:footerReference w:type="even" r:id="rId11"/>
          <w:footerReference w:type="default" r:id="rId12"/>
          <w:headerReference w:type="first" r:id="rId13"/>
          <w:footerReference w:type="first" r:id="rId14"/>
          <w:pgSz w:w="11900" w:h="16840"/>
          <w:pgMar w:top="11340" w:right="1800" w:bottom="1440" w:left="1800" w:header="708" w:footer="307" w:gutter="0"/>
          <w:cols w:space="708"/>
          <w:titlePg/>
        </w:sectPr>
      </w:pPr>
      <w:r w:rsidRPr="00413071">
        <w:rPr>
          <w:sz w:val="32"/>
        </w:rPr>
        <w:t xml:space="preserve">Resource </w:t>
      </w:r>
      <w:r w:rsidR="007F7178">
        <w:rPr>
          <w:sz w:val="32"/>
        </w:rPr>
        <w:t>2a</w:t>
      </w:r>
      <w:r w:rsidR="0003195D">
        <w:rPr>
          <w:sz w:val="32"/>
        </w:rPr>
        <w:t>: Trainer’s n</w:t>
      </w:r>
      <w:r w:rsidR="00976166">
        <w:rPr>
          <w:sz w:val="32"/>
        </w:rPr>
        <w:t>otes to accompany PowerPoint</w:t>
      </w:r>
    </w:p>
    <w:p w:rsidR="00622220" w:rsidRPr="00622220" w:rsidRDefault="0003195D" w:rsidP="00622220">
      <w:pPr>
        <w:pStyle w:val="04MainHead"/>
      </w:pPr>
      <w:r>
        <w:lastRenderedPageBreak/>
        <w:t>The Why and How of g</w:t>
      </w:r>
      <w:r w:rsidR="00622220" w:rsidRPr="00FB7374">
        <w:t>rammar</w:t>
      </w:r>
      <w:r>
        <w:t xml:space="preserve"> t</w:t>
      </w:r>
      <w:r w:rsidR="00622220">
        <w:t>eaching</w:t>
      </w:r>
    </w:p>
    <w:p w:rsidR="00622220" w:rsidRPr="00622220" w:rsidRDefault="00622220" w:rsidP="00622220">
      <w:pPr>
        <w:pStyle w:val="05SubHead"/>
      </w:pPr>
      <w:r w:rsidRPr="00622220">
        <w:t>Trainer</w:t>
      </w:r>
      <w:r w:rsidR="007F7178">
        <w:t>’</w:t>
      </w:r>
      <w:r w:rsidR="0003195D">
        <w:t>s n</w:t>
      </w:r>
      <w:r w:rsidRPr="00622220">
        <w:t xml:space="preserve">otes to accompany </w:t>
      </w:r>
      <w:r w:rsidR="007F7178">
        <w:t>P</w:t>
      </w:r>
      <w:r w:rsidRPr="00622220">
        <w:t>ower</w:t>
      </w:r>
      <w:r w:rsidR="0026298E">
        <w:t>P</w:t>
      </w:r>
      <w:r w:rsidRPr="00622220">
        <w:t xml:space="preserve">oint </w:t>
      </w:r>
      <w:r w:rsidR="0026298E">
        <w:t>p</w:t>
      </w:r>
      <w:r w:rsidRPr="00622220">
        <w:t>resentation</w:t>
      </w:r>
    </w:p>
    <w:p w:rsidR="00622220" w:rsidRPr="00622220" w:rsidRDefault="00622220" w:rsidP="00622220">
      <w:pPr>
        <w:pStyle w:val="05SubHead"/>
        <w:rPr>
          <w:color w:val="B34A22"/>
        </w:rPr>
      </w:pPr>
      <w:r w:rsidRPr="00622220">
        <w:rPr>
          <w:color w:val="B34A22"/>
        </w:rPr>
        <w:t>Slide 2</w:t>
      </w:r>
    </w:p>
    <w:p w:rsidR="00622220" w:rsidRPr="00906855" w:rsidRDefault="00622220" w:rsidP="00622220">
      <w:pPr>
        <w:pStyle w:val="06Body"/>
      </w:pPr>
      <w:r>
        <w:t>It will be important to discuss what we are hoping to achieve as language teachers, particularly in relation to grammar, before moving on to consider ways to achieve it. Slide 2 poses some questions which are likely to lead to the conclusion that not all activities have the same goals, and certainly not at different levels, but ther</w:t>
      </w:r>
      <w:r w:rsidR="00E45D72">
        <w:t>e will be some common factors.</w:t>
      </w:r>
    </w:p>
    <w:p w:rsidR="00622220" w:rsidRPr="00622220" w:rsidRDefault="00622220" w:rsidP="00622220">
      <w:pPr>
        <w:pStyle w:val="05SubHead"/>
        <w:rPr>
          <w:color w:val="B34A22"/>
        </w:rPr>
      </w:pPr>
      <w:r w:rsidRPr="00622220">
        <w:rPr>
          <w:color w:val="B34A22"/>
        </w:rPr>
        <w:t>Slide 3</w:t>
      </w:r>
    </w:p>
    <w:p w:rsidR="00622220" w:rsidRPr="0095371E" w:rsidRDefault="00622220" w:rsidP="00622220">
      <w:pPr>
        <w:pStyle w:val="05SubHead"/>
      </w:pPr>
      <w:r w:rsidRPr="0095371E">
        <w:t>What is communicative language teaching?</w:t>
      </w:r>
    </w:p>
    <w:p w:rsidR="00622220" w:rsidRPr="0095371E" w:rsidRDefault="00622220" w:rsidP="00622220">
      <w:pPr>
        <w:pStyle w:val="06Body"/>
      </w:pPr>
      <w:r w:rsidRPr="0095371E">
        <w:t>Invite definitions of communicative language teaching.</w:t>
      </w:r>
    </w:p>
    <w:tbl>
      <w:tblPr>
        <w:tblStyle w:val="TableGrid"/>
        <w:tblW w:w="9526" w:type="dxa"/>
        <w:jc w:val="center"/>
        <w:tblLook w:val="00A0" w:firstRow="1" w:lastRow="0" w:firstColumn="1" w:lastColumn="0" w:noHBand="0" w:noVBand="0"/>
      </w:tblPr>
      <w:tblGrid>
        <w:gridCol w:w="9526"/>
      </w:tblGrid>
      <w:tr w:rsidR="00622220" w:rsidTr="00E45D72">
        <w:trPr>
          <w:trHeight w:val="1172"/>
          <w:jc w:val="center"/>
        </w:trPr>
        <w:tc>
          <w:tcPr>
            <w:tcW w:w="8516" w:type="dxa"/>
          </w:tcPr>
          <w:p w:rsidR="00622220" w:rsidRPr="0095371E" w:rsidRDefault="00622220" w:rsidP="00E45D72">
            <w:pPr>
              <w:pStyle w:val="05SubHead"/>
              <w:spacing w:before="80" w:after="80" w:line="240" w:lineRule="auto"/>
              <w:ind w:left="0"/>
            </w:pPr>
            <w:r>
              <w:t>Activity</w:t>
            </w:r>
            <w:r w:rsidRPr="0095371E">
              <w:t>:</w:t>
            </w:r>
          </w:p>
          <w:p w:rsidR="00E45D72" w:rsidRDefault="00622220" w:rsidP="00E45D72">
            <w:pPr>
              <w:pStyle w:val="05SubHead"/>
              <w:spacing w:before="80" w:after="80" w:line="240" w:lineRule="auto"/>
              <w:ind w:left="0"/>
            </w:pPr>
            <w:r w:rsidRPr="0095371E">
              <w:t>Which of these statements do you think characterise communicative language teaching?</w:t>
            </w:r>
          </w:p>
          <w:p w:rsidR="00622220" w:rsidRDefault="00622220" w:rsidP="00E45D72">
            <w:pPr>
              <w:pStyle w:val="05SubHead"/>
              <w:spacing w:before="80" w:after="80" w:line="240" w:lineRule="auto"/>
              <w:ind w:left="0"/>
            </w:pPr>
            <w:r w:rsidRPr="0095371E">
              <w:t xml:space="preserve">Are there any that you disagree with? Could you rank order the ones you agree with? </w:t>
            </w:r>
          </w:p>
        </w:tc>
      </w:tr>
    </w:tbl>
    <w:p w:rsidR="00622220" w:rsidRDefault="00622220" w:rsidP="00622220">
      <w:pPr>
        <w:pStyle w:val="06Body"/>
        <w:ind w:left="0"/>
        <w:rPr>
          <w:b/>
        </w:rPr>
      </w:pPr>
    </w:p>
    <w:tbl>
      <w:tblPr>
        <w:tblStyle w:val="TableGrid"/>
        <w:tblW w:w="9526" w:type="dxa"/>
        <w:jc w:val="center"/>
        <w:tblLook w:val="00A0" w:firstRow="1" w:lastRow="0" w:firstColumn="1" w:lastColumn="0" w:noHBand="0" w:noVBand="0"/>
      </w:tblPr>
      <w:tblGrid>
        <w:gridCol w:w="9526"/>
      </w:tblGrid>
      <w:tr w:rsidR="00622220">
        <w:trPr>
          <w:jc w:val="center"/>
        </w:trPr>
        <w:tc>
          <w:tcPr>
            <w:tcW w:w="8516" w:type="dxa"/>
          </w:tcPr>
          <w:p w:rsidR="00622220" w:rsidRPr="0095371E" w:rsidRDefault="00622220" w:rsidP="00E45D72">
            <w:pPr>
              <w:pStyle w:val="06Body"/>
              <w:numPr>
                <w:ilvl w:val="0"/>
                <w:numId w:val="6"/>
              </w:numPr>
              <w:spacing w:before="120" w:after="200"/>
              <w:ind w:left="363" w:hanging="363"/>
              <w:rPr>
                <w:b/>
              </w:rPr>
            </w:pPr>
            <w:r w:rsidRPr="0095371E">
              <w:rPr>
                <w:b/>
              </w:rPr>
              <w:t>Students learn a language best when using it to do things rather than learning rules</w:t>
            </w:r>
          </w:p>
          <w:p w:rsidR="00622220" w:rsidRPr="0095371E" w:rsidRDefault="00622220" w:rsidP="00622220">
            <w:pPr>
              <w:pStyle w:val="06Body"/>
              <w:numPr>
                <w:ilvl w:val="0"/>
                <w:numId w:val="6"/>
              </w:numPr>
              <w:ind w:left="363" w:hanging="363"/>
              <w:rPr>
                <w:b/>
              </w:rPr>
            </w:pPr>
            <w:r w:rsidRPr="0095371E">
              <w:rPr>
                <w:b/>
              </w:rPr>
              <w:t>Grammar is no longer important in language teaching</w:t>
            </w:r>
          </w:p>
          <w:p w:rsidR="00622220" w:rsidRPr="0095371E" w:rsidRDefault="00622220" w:rsidP="00622220">
            <w:pPr>
              <w:pStyle w:val="06Body"/>
              <w:numPr>
                <w:ilvl w:val="0"/>
                <w:numId w:val="6"/>
              </w:numPr>
              <w:ind w:left="363" w:hanging="363"/>
              <w:rPr>
                <w:b/>
              </w:rPr>
            </w:pPr>
            <w:r w:rsidRPr="0095371E">
              <w:rPr>
                <w:b/>
              </w:rPr>
              <w:t>Writing the language is not important</w:t>
            </w:r>
          </w:p>
          <w:p w:rsidR="00622220" w:rsidRPr="0095371E" w:rsidRDefault="00622220" w:rsidP="00622220">
            <w:pPr>
              <w:pStyle w:val="06Body"/>
              <w:numPr>
                <w:ilvl w:val="0"/>
                <w:numId w:val="6"/>
              </w:numPr>
              <w:ind w:left="363" w:hanging="363"/>
              <w:rPr>
                <w:b/>
              </w:rPr>
            </w:pPr>
            <w:r w:rsidRPr="0095371E">
              <w:rPr>
                <w:b/>
              </w:rPr>
              <w:t>Students learn a language through communicating in it</w:t>
            </w:r>
          </w:p>
          <w:p w:rsidR="00622220" w:rsidRPr="0095371E" w:rsidRDefault="00622220" w:rsidP="00622220">
            <w:pPr>
              <w:pStyle w:val="06Body"/>
              <w:numPr>
                <w:ilvl w:val="0"/>
                <w:numId w:val="6"/>
              </w:numPr>
              <w:ind w:left="363" w:hanging="363"/>
              <w:rPr>
                <w:b/>
              </w:rPr>
            </w:pPr>
            <w:r w:rsidRPr="0095371E">
              <w:rPr>
                <w:b/>
              </w:rPr>
              <w:t>Errors should not be corrected as long as the message is communicated</w:t>
            </w:r>
          </w:p>
          <w:p w:rsidR="00622220" w:rsidRPr="0095371E" w:rsidRDefault="00622220" w:rsidP="00622220">
            <w:pPr>
              <w:pStyle w:val="06Body"/>
              <w:numPr>
                <w:ilvl w:val="0"/>
                <w:numId w:val="6"/>
              </w:numPr>
              <w:ind w:left="363" w:hanging="363"/>
              <w:rPr>
                <w:b/>
              </w:rPr>
            </w:pPr>
            <w:r w:rsidRPr="0095371E">
              <w:rPr>
                <w:b/>
              </w:rPr>
              <w:t>Students should only read authentic texts</w:t>
            </w:r>
          </w:p>
          <w:p w:rsidR="00622220" w:rsidRPr="0095371E" w:rsidRDefault="00E45D72" w:rsidP="00622220">
            <w:pPr>
              <w:pStyle w:val="06Body"/>
              <w:numPr>
                <w:ilvl w:val="0"/>
                <w:numId w:val="6"/>
              </w:numPr>
              <w:ind w:left="363" w:hanging="363"/>
              <w:rPr>
                <w:b/>
              </w:rPr>
            </w:pPr>
            <w:r>
              <w:rPr>
                <w:b/>
              </w:rPr>
              <w:t>Speaking is</w:t>
            </w:r>
            <w:r w:rsidR="00622220" w:rsidRPr="0095371E">
              <w:rPr>
                <w:b/>
              </w:rPr>
              <w:t xml:space="preserve"> the most important aspect of language teaching</w:t>
            </w:r>
          </w:p>
          <w:p w:rsidR="00622220" w:rsidRPr="0095371E" w:rsidRDefault="00622220" w:rsidP="00622220">
            <w:pPr>
              <w:pStyle w:val="06Body"/>
              <w:numPr>
                <w:ilvl w:val="0"/>
                <w:numId w:val="6"/>
              </w:numPr>
              <w:ind w:left="363" w:hanging="363"/>
              <w:rPr>
                <w:b/>
              </w:rPr>
            </w:pPr>
            <w:r w:rsidRPr="0095371E">
              <w:rPr>
                <w:b/>
              </w:rPr>
              <w:t>Classroom activities should be meaningful and involve real communication</w:t>
            </w:r>
          </w:p>
          <w:p w:rsidR="00622220" w:rsidRPr="0095371E" w:rsidRDefault="00622220" w:rsidP="00622220">
            <w:pPr>
              <w:pStyle w:val="06Body"/>
              <w:numPr>
                <w:ilvl w:val="0"/>
                <w:numId w:val="6"/>
              </w:numPr>
              <w:ind w:left="363" w:hanging="363"/>
              <w:rPr>
                <w:b/>
              </w:rPr>
            </w:pPr>
            <w:r w:rsidRPr="0095371E">
              <w:rPr>
                <w:b/>
              </w:rPr>
              <w:t>Accuracy and fluency are equally important in communicative language teaching</w:t>
            </w:r>
          </w:p>
          <w:p w:rsidR="00622220" w:rsidRDefault="00622220" w:rsidP="00622220">
            <w:pPr>
              <w:pStyle w:val="06Body"/>
              <w:numPr>
                <w:ilvl w:val="0"/>
                <w:numId w:val="6"/>
              </w:numPr>
              <w:ind w:left="363" w:hanging="363"/>
              <w:rPr>
                <w:b/>
              </w:rPr>
            </w:pPr>
            <w:r w:rsidRPr="0095371E">
              <w:rPr>
                <w:b/>
              </w:rPr>
              <w:t>All communication in the classroom should be in the target language</w:t>
            </w:r>
          </w:p>
        </w:tc>
      </w:tr>
    </w:tbl>
    <w:p w:rsidR="00622220" w:rsidRDefault="00622220" w:rsidP="00622220">
      <w:pPr>
        <w:pStyle w:val="06Body"/>
      </w:pPr>
    </w:p>
    <w:p w:rsidR="00622220" w:rsidRPr="0095371E" w:rsidRDefault="00622220" w:rsidP="00622220">
      <w:pPr>
        <w:pStyle w:val="06Body"/>
      </w:pPr>
      <w:r w:rsidRPr="0095371E">
        <w:t>What do we mean by ‘authentic’? – Invite definitions</w:t>
      </w:r>
    </w:p>
    <w:p w:rsidR="00622220" w:rsidRPr="0095371E" w:rsidRDefault="00622220" w:rsidP="00622220">
      <w:pPr>
        <w:pStyle w:val="06Body"/>
      </w:pPr>
      <w:r w:rsidRPr="0095371E">
        <w:t>Is real authenticity achievable?</w:t>
      </w:r>
    </w:p>
    <w:p w:rsidR="00622220" w:rsidRPr="0095371E" w:rsidRDefault="00622220" w:rsidP="00622220">
      <w:pPr>
        <w:pStyle w:val="06Body"/>
      </w:pPr>
      <w:r w:rsidRPr="0095371E">
        <w:t>Can language use be ‘authentic’ with such limited knowledge?</w:t>
      </w:r>
    </w:p>
    <w:p w:rsidR="009854D8" w:rsidRDefault="00622220" w:rsidP="00622220">
      <w:pPr>
        <w:pStyle w:val="06Body"/>
      </w:pPr>
      <w:r w:rsidRPr="0095371E">
        <w:t>Does this have implications for target language use?</w:t>
      </w:r>
    </w:p>
    <w:p w:rsidR="00622220" w:rsidRPr="0095371E" w:rsidRDefault="00622220" w:rsidP="00622220">
      <w:pPr>
        <w:pStyle w:val="06Body"/>
      </w:pPr>
      <w:r w:rsidRPr="0095371E">
        <w:lastRenderedPageBreak/>
        <w:t>How ‘authentic’ can we make the pre-commun</w:t>
      </w:r>
      <w:r w:rsidR="009854D8">
        <w:t>i</w:t>
      </w:r>
      <w:r w:rsidRPr="0095371E">
        <w:t>cative tasks?</w:t>
      </w:r>
    </w:p>
    <w:p w:rsidR="00622220" w:rsidRPr="00622220" w:rsidRDefault="00622220" w:rsidP="00622220">
      <w:pPr>
        <w:pStyle w:val="06Body"/>
      </w:pPr>
      <w:r w:rsidRPr="0095371E">
        <w:t>Is there a place for language ‘drills’?</w:t>
      </w:r>
    </w:p>
    <w:p w:rsidR="00622220" w:rsidRPr="00B42154" w:rsidRDefault="00622220" w:rsidP="00622220">
      <w:pPr>
        <w:pStyle w:val="05SubHead"/>
      </w:pPr>
      <w:r w:rsidRPr="00B42154">
        <w:t>Activity</w:t>
      </w:r>
    </w:p>
    <w:p w:rsidR="00622220" w:rsidRPr="00B42154" w:rsidRDefault="00622220" w:rsidP="00622220">
      <w:pPr>
        <w:pStyle w:val="06Body"/>
      </w:pPr>
      <w:r w:rsidRPr="00B42154">
        <w:t>Invite students to work in groups and discuss the lesson/activity they reflected on in preparation for the course.</w:t>
      </w:r>
    </w:p>
    <w:p w:rsidR="00622220" w:rsidRPr="00B42154" w:rsidRDefault="00622220" w:rsidP="00622220">
      <w:pPr>
        <w:pStyle w:val="06Body"/>
      </w:pPr>
      <w:r w:rsidRPr="00B42154">
        <w:t>Has what they have heard so far changed the way they view that activity?</w:t>
      </w:r>
    </w:p>
    <w:p w:rsidR="00622220" w:rsidRPr="00FE583C" w:rsidRDefault="00622220" w:rsidP="00622220">
      <w:pPr>
        <w:pStyle w:val="06Body"/>
      </w:pPr>
      <w:r w:rsidRPr="00B42154">
        <w:t>Invite feedback from groups if they wish to give</w:t>
      </w:r>
      <w:r>
        <w:t xml:space="preserve"> </w:t>
      </w:r>
      <w:r w:rsidRPr="00361713">
        <w:t>it</w:t>
      </w:r>
      <w:r>
        <w:t>.</w:t>
      </w:r>
    </w:p>
    <w:p w:rsidR="00622220" w:rsidRPr="00622220" w:rsidRDefault="00622220" w:rsidP="00622220">
      <w:pPr>
        <w:pStyle w:val="05SubHead"/>
        <w:rPr>
          <w:color w:val="B34A22"/>
        </w:rPr>
      </w:pPr>
      <w:r w:rsidRPr="00622220">
        <w:rPr>
          <w:color w:val="B34A22"/>
        </w:rPr>
        <w:t>Slide 4</w:t>
      </w:r>
    </w:p>
    <w:p w:rsidR="00622220" w:rsidRDefault="00622220" w:rsidP="00622220">
      <w:pPr>
        <w:pStyle w:val="06Body"/>
      </w:pPr>
      <w:r>
        <w:t xml:space="preserve">Do we put a different emphasis on grammar when teaching different skills? Do we teach ‘grammar for listening’ or ‘grammar for reading’? </w:t>
      </w:r>
      <w:proofErr w:type="gramStart"/>
      <w:r>
        <w:t>or</w:t>
      </w:r>
      <w:proofErr w:type="gramEnd"/>
      <w:r>
        <w:t xml:space="preserve"> do we only talk about grammar in the context of writing or speaking?</w:t>
      </w:r>
    </w:p>
    <w:p w:rsidR="00622220" w:rsidRDefault="00622220" w:rsidP="00622220">
      <w:pPr>
        <w:pStyle w:val="06Body"/>
      </w:pPr>
      <w:r>
        <w:t>Are we more tolerant of error in speaking then in writing? If so, why?</w:t>
      </w:r>
    </w:p>
    <w:p w:rsidR="00622220" w:rsidRPr="00622220" w:rsidRDefault="009854D8" w:rsidP="00622220">
      <w:pPr>
        <w:pStyle w:val="05SubHead"/>
        <w:rPr>
          <w:color w:val="B34A22"/>
        </w:rPr>
      </w:pPr>
      <w:r>
        <w:rPr>
          <w:color w:val="B34A22"/>
        </w:rPr>
        <w:t>Slides 5–</w:t>
      </w:r>
      <w:r w:rsidR="00622220" w:rsidRPr="00622220">
        <w:rPr>
          <w:color w:val="B34A22"/>
        </w:rPr>
        <w:t>7</w:t>
      </w:r>
    </w:p>
    <w:p w:rsidR="00622220" w:rsidRDefault="00622220" w:rsidP="00622220">
      <w:pPr>
        <w:pStyle w:val="06Body"/>
      </w:pPr>
      <w:r>
        <w:t>These slides explore the causes of error and our attitudes to them. It is a vast topic which cannot be fully explored within this module, but it is worth drawing out a few significant points. It is particularly important to focus on the point of the exercise (slide 7) as this will often dictate the approach taken by the teacher.</w:t>
      </w:r>
    </w:p>
    <w:p w:rsidR="00622220" w:rsidRPr="00622220" w:rsidRDefault="00622220" w:rsidP="00622220">
      <w:pPr>
        <w:pStyle w:val="05SubHead"/>
        <w:rPr>
          <w:color w:val="B34A22"/>
        </w:rPr>
      </w:pPr>
      <w:r w:rsidRPr="00622220">
        <w:rPr>
          <w:color w:val="B34A22"/>
        </w:rPr>
        <w:t>Slide 8</w:t>
      </w:r>
    </w:p>
    <w:p w:rsidR="00622220" w:rsidRPr="00906855" w:rsidRDefault="00622220" w:rsidP="00622220">
      <w:pPr>
        <w:pStyle w:val="06Body"/>
      </w:pPr>
      <w:r>
        <w:t>Before moving on to some examples o</w:t>
      </w:r>
      <w:r w:rsidR="00E45D72">
        <w:t xml:space="preserve">f grammar in context, it would </w:t>
      </w:r>
      <w:r>
        <w:t>be useful to agree some general conclusions. Trainers may decide to change these co</w:t>
      </w:r>
      <w:r w:rsidR="00E45D72">
        <w:t>nclusions or to omit this slide</w:t>
      </w:r>
      <w:r>
        <w:t>.</w:t>
      </w:r>
    </w:p>
    <w:p w:rsidR="00622220" w:rsidRPr="00622220" w:rsidRDefault="00622220" w:rsidP="00622220">
      <w:pPr>
        <w:pStyle w:val="05SubHead"/>
        <w:rPr>
          <w:color w:val="B34A22"/>
        </w:rPr>
      </w:pPr>
      <w:r w:rsidRPr="00622220">
        <w:rPr>
          <w:color w:val="B34A22"/>
        </w:rPr>
        <w:t>Slide 9</w:t>
      </w:r>
    </w:p>
    <w:p w:rsidR="00622220" w:rsidRDefault="00622220" w:rsidP="00622220">
      <w:pPr>
        <w:pStyle w:val="05SubHead"/>
      </w:pPr>
      <w:r w:rsidRPr="0095371E">
        <w:t>Grammar in context</w:t>
      </w:r>
    </w:p>
    <w:p w:rsidR="00622220" w:rsidRDefault="00622220" w:rsidP="00622220">
      <w:pPr>
        <w:pStyle w:val="06Body"/>
      </w:pPr>
      <w:r>
        <w:t>Is it possible to teach grammar in a context which will interest the students, given the gap between cognitive maturity and linguistic competence?</w:t>
      </w:r>
    </w:p>
    <w:p w:rsidR="00622220" w:rsidRDefault="00622220" w:rsidP="00622220">
      <w:pPr>
        <w:pStyle w:val="06Body"/>
      </w:pPr>
      <w:r>
        <w:t>Can we make these tasks authentic or do we have to motiv</w:t>
      </w:r>
      <w:r w:rsidR="00E45D72">
        <w:t xml:space="preserve">ate the students to ‘buy into’ </w:t>
      </w:r>
      <w:r>
        <w:t>the artificial nature of some tasks as a means to an end?</w:t>
      </w:r>
    </w:p>
    <w:p w:rsidR="00622220" w:rsidRDefault="00622220" w:rsidP="00622220">
      <w:pPr>
        <w:pStyle w:val="06Body"/>
      </w:pPr>
      <w:r>
        <w:t>How do we do that? Invite suggestions from staff. These may include:</w:t>
      </w:r>
    </w:p>
    <w:p w:rsidR="00622220" w:rsidRDefault="00622220" w:rsidP="009854D8">
      <w:pPr>
        <w:pStyle w:val="06Body"/>
        <w:numPr>
          <w:ilvl w:val="0"/>
          <w:numId w:val="9"/>
        </w:numPr>
      </w:pPr>
      <w:r>
        <w:t>Providing models to copy</w:t>
      </w:r>
    </w:p>
    <w:p w:rsidR="00622220" w:rsidRDefault="009854D8" w:rsidP="009854D8">
      <w:pPr>
        <w:pStyle w:val="06Body"/>
        <w:numPr>
          <w:ilvl w:val="0"/>
          <w:numId w:val="9"/>
        </w:numPr>
      </w:pPr>
      <w:r>
        <w:t>S</w:t>
      </w:r>
      <w:r w:rsidR="00622220">
        <w:t>caffolding and gradually withdrawing support</w:t>
      </w:r>
    </w:p>
    <w:p w:rsidR="00622220" w:rsidRDefault="009854D8" w:rsidP="00622220">
      <w:pPr>
        <w:pStyle w:val="06Body"/>
        <w:numPr>
          <w:ilvl w:val="0"/>
          <w:numId w:val="9"/>
        </w:numPr>
      </w:pPr>
      <w:r>
        <w:t>P</w:t>
      </w:r>
      <w:r w:rsidR="00622220">
        <w:t>roviding supplementary support for those students who need it</w:t>
      </w:r>
    </w:p>
    <w:p w:rsidR="00622220" w:rsidRPr="00622220" w:rsidRDefault="009854D8" w:rsidP="00622220">
      <w:pPr>
        <w:pStyle w:val="06Body"/>
        <w:numPr>
          <w:ilvl w:val="0"/>
          <w:numId w:val="9"/>
        </w:numPr>
      </w:pPr>
      <w:r>
        <w:t>P</w:t>
      </w:r>
      <w:r w:rsidR="00622220">
        <w:t>roviding more open-ended tasks but within a controlled framework for more able students</w:t>
      </w:r>
      <w:r>
        <w:t>.</w:t>
      </w:r>
    </w:p>
    <w:p w:rsidR="009854D8" w:rsidRDefault="009854D8" w:rsidP="00622220">
      <w:pPr>
        <w:pStyle w:val="05SubHead"/>
        <w:rPr>
          <w:color w:val="B34A22"/>
        </w:rPr>
      </w:pPr>
    </w:p>
    <w:p w:rsidR="00622220" w:rsidRPr="00622220" w:rsidRDefault="00622220" w:rsidP="00622220">
      <w:pPr>
        <w:pStyle w:val="05SubHead"/>
        <w:rPr>
          <w:color w:val="B34A22"/>
        </w:rPr>
      </w:pPr>
      <w:r w:rsidRPr="00622220">
        <w:rPr>
          <w:color w:val="B34A22"/>
        </w:rPr>
        <w:lastRenderedPageBreak/>
        <w:t>Slides 10</w:t>
      </w:r>
      <w:r w:rsidR="00E45D72">
        <w:rPr>
          <w:color w:val="B34A22"/>
        </w:rPr>
        <w:t>–</w:t>
      </w:r>
      <w:r w:rsidRPr="00622220">
        <w:rPr>
          <w:color w:val="B34A22"/>
        </w:rPr>
        <w:t>18</w:t>
      </w:r>
    </w:p>
    <w:p w:rsidR="00622220" w:rsidRPr="0095371E" w:rsidRDefault="00622220" w:rsidP="00622220">
      <w:pPr>
        <w:pStyle w:val="06Body"/>
      </w:pPr>
      <w:r>
        <w:t>Even if we cannot aim for c</w:t>
      </w:r>
      <w:r w:rsidRPr="0095371E">
        <w:t>omplete authenticity, we can certainly teach grammar in context and come closer to ‘meanings that matter’.</w:t>
      </w:r>
    </w:p>
    <w:p w:rsidR="00622220" w:rsidRPr="0095371E" w:rsidRDefault="00622220" w:rsidP="00622220">
      <w:pPr>
        <w:pStyle w:val="06Body"/>
      </w:pPr>
      <w:r w:rsidRPr="0095371E">
        <w:t>A few examples:</w:t>
      </w:r>
    </w:p>
    <w:p w:rsidR="00622220" w:rsidRDefault="009854D8" w:rsidP="00622220">
      <w:pPr>
        <w:pStyle w:val="06Body"/>
      </w:pPr>
      <w:r>
        <w:rPr>
          <w:b/>
        </w:rPr>
        <w:t>Desert Island D</w:t>
      </w:r>
      <w:r w:rsidR="00622220" w:rsidRPr="0095371E">
        <w:rPr>
          <w:b/>
        </w:rPr>
        <w:t>isc</w:t>
      </w:r>
      <w:r w:rsidR="00B442AE">
        <w:rPr>
          <w:b/>
        </w:rPr>
        <w:t>s</w:t>
      </w:r>
      <w:r w:rsidR="00622220" w:rsidRPr="0095371E">
        <w:rPr>
          <w:b/>
        </w:rPr>
        <w:t xml:space="preserve"> slide</w:t>
      </w:r>
      <w:r w:rsidR="00622220" w:rsidRPr="0095371E">
        <w:t xml:space="preserve"> – practice of imperfect tense is an enjoyable context. Students use this slide (or similar) as an example and adapt their own song, book, film, etc. Sentence frame with model verbs can be supplied for support if needed.</w:t>
      </w:r>
    </w:p>
    <w:p w:rsidR="00622220" w:rsidRDefault="00E45D72" w:rsidP="00622220">
      <w:pPr>
        <w:pStyle w:val="06Body"/>
      </w:pPr>
      <w:r>
        <w:rPr>
          <w:b/>
        </w:rPr>
        <w:t>Fantasy dinner party slide</w:t>
      </w:r>
      <w:r w:rsidR="00622220" w:rsidRPr="0095371E">
        <w:t xml:space="preserve"> </w:t>
      </w:r>
      <w:r>
        <w:t xml:space="preserve">– </w:t>
      </w:r>
      <w:r w:rsidR="00622220" w:rsidRPr="0095371E">
        <w:t>can be adapted to practise conditional tense and discuss what would happen, or could be used to practise descriptions. Students plan their own ideal party (holiday/outing/ barbecue etc) guests and say why they would invite them. Could be a group activity.</w:t>
      </w:r>
    </w:p>
    <w:p w:rsidR="00622220" w:rsidRPr="0095371E" w:rsidRDefault="00622220" w:rsidP="00622220">
      <w:pPr>
        <w:pStyle w:val="06Body"/>
      </w:pPr>
      <w:r w:rsidRPr="0044523E">
        <w:rPr>
          <w:b/>
        </w:rPr>
        <w:t>German New Year’s resolutions</w:t>
      </w:r>
      <w:r>
        <w:t xml:space="preserve"> – practice of future tense</w:t>
      </w:r>
    </w:p>
    <w:p w:rsidR="00622220" w:rsidRPr="0095371E" w:rsidRDefault="00622220" w:rsidP="00622220">
      <w:pPr>
        <w:pStyle w:val="06Body"/>
      </w:pPr>
      <w:r w:rsidRPr="0095371E">
        <w:rPr>
          <w:b/>
        </w:rPr>
        <w:t xml:space="preserve">Verde </w:t>
      </w:r>
      <w:proofErr w:type="spellStart"/>
      <w:r w:rsidRPr="0095371E">
        <w:rPr>
          <w:b/>
        </w:rPr>
        <w:t>que</w:t>
      </w:r>
      <w:proofErr w:type="spellEnd"/>
      <w:r w:rsidRPr="0095371E">
        <w:rPr>
          <w:b/>
        </w:rPr>
        <w:t xml:space="preserve"> </w:t>
      </w:r>
      <w:proofErr w:type="spellStart"/>
      <w:proofErr w:type="gramStart"/>
      <w:r w:rsidRPr="0095371E">
        <w:rPr>
          <w:b/>
        </w:rPr>
        <w:t>te</w:t>
      </w:r>
      <w:proofErr w:type="spellEnd"/>
      <w:proofErr w:type="gramEnd"/>
      <w:r w:rsidRPr="0095371E">
        <w:rPr>
          <w:b/>
        </w:rPr>
        <w:t xml:space="preserve"> </w:t>
      </w:r>
      <w:proofErr w:type="spellStart"/>
      <w:r w:rsidRPr="0095371E">
        <w:rPr>
          <w:b/>
        </w:rPr>
        <w:t>quiero</w:t>
      </w:r>
      <w:proofErr w:type="spellEnd"/>
      <w:r w:rsidRPr="0095371E">
        <w:rPr>
          <w:b/>
        </w:rPr>
        <w:t xml:space="preserve"> </w:t>
      </w:r>
      <w:proofErr w:type="spellStart"/>
      <w:r w:rsidRPr="0095371E">
        <w:rPr>
          <w:b/>
        </w:rPr>
        <w:t>verde</w:t>
      </w:r>
      <w:proofErr w:type="spellEnd"/>
      <w:r w:rsidRPr="0095371E">
        <w:t xml:space="preserve"> – substitute a different colour or other adjective to practise agreement of adjectives in a creative context.</w:t>
      </w:r>
    </w:p>
    <w:p w:rsidR="00622220" w:rsidRPr="0095371E" w:rsidRDefault="00622220" w:rsidP="00622220">
      <w:pPr>
        <w:pStyle w:val="06Body"/>
      </w:pPr>
      <w:r w:rsidRPr="0095371E">
        <w:rPr>
          <w:b/>
        </w:rPr>
        <w:t>Other poems</w:t>
      </w:r>
      <w:r w:rsidRPr="0095371E">
        <w:t xml:space="preserve"> – use as models and substitute different verbs.</w:t>
      </w:r>
    </w:p>
    <w:p w:rsidR="00622220" w:rsidRPr="0095371E" w:rsidRDefault="00622220" w:rsidP="00622220">
      <w:pPr>
        <w:pStyle w:val="06Body"/>
      </w:pPr>
      <w:r w:rsidRPr="0095371E">
        <w:rPr>
          <w:b/>
        </w:rPr>
        <w:t>Song to adapt</w:t>
      </w:r>
      <w:r w:rsidRPr="0095371E">
        <w:t xml:space="preserve"> – highlight all uses of subjunctive. Adapt song to a different context </w:t>
      </w:r>
    </w:p>
    <w:p w:rsidR="00622220" w:rsidRDefault="00622220" w:rsidP="00622220">
      <w:pPr>
        <w:pStyle w:val="06Body"/>
      </w:pPr>
      <w:r>
        <w:rPr>
          <w:b/>
        </w:rPr>
        <w:t>Song / rap writing</w:t>
      </w:r>
      <w:r w:rsidRPr="0095371E">
        <w:t xml:space="preserve"> </w:t>
      </w:r>
      <w:r w:rsidR="00E45D72">
        <w:t xml:space="preserve">– </w:t>
      </w:r>
      <w:r w:rsidRPr="0095371E">
        <w:t>students write their own song/rap and produce a video to accompany it. Song can be based around a particular grammar point</w:t>
      </w:r>
      <w:r>
        <w:t>.</w:t>
      </w:r>
      <w:r w:rsidRPr="0095371E">
        <w:t xml:space="preserve"> </w:t>
      </w:r>
      <w:r>
        <w:t xml:space="preserve">Examples can be found on the Routes </w:t>
      </w:r>
      <w:r w:rsidR="00E45D72">
        <w:t xml:space="preserve">into Languages SW </w:t>
      </w:r>
      <w:proofErr w:type="spellStart"/>
      <w:r w:rsidR="00E45D72">
        <w:t>Youtube</w:t>
      </w:r>
      <w:proofErr w:type="spellEnd"/>
      <w:r w:rsidR="00E45D72">
        <w:t xml:space="preserve"> site.</w:t>
      </w:r>
    </w:p>
    <w:p w:rsidR="00622220" w:rsidRPr="00B36542" w:rsidRDefault="00622220" w:rsidP="00622220">
      <w:pPr>
        <w:pStyle w:val="06Body"/>
      </w:pPr>
      <w:r w:rsidRPr="00B36542">
        <w:t>Think about what sort of pre-communicative work (scaffolding, grammar exercises or whatever we wish to call it) would have to be done in preparation for these activities</w:t>
      </w:r>
      <w:r w:rsidR="009854D8">
        <w:t>.</w:t>
      </w:r>
    </w:p>
    <w:p w:rsidR="00622220" w:rsidRPr="009854D8" w:rsidRDefault="00622220" w:rsidP="00622220">
      <w:pPr>
        <w:pStyle w:val="06Body"/>
        <w:rPr>
          <w:lang w:val="en-US"/>
        </w:rPr>
      </w:pPr>
      <w:r w:rsidRPr="00B36542">
        <w:rPr>
          <w:b/>
          <w:lang w:val="en-US"/>
        </w:rPr>
        <w:t xml:space="preserve">Invite </w:t>
      </w:r>
      <w:r>
        <w:rPr>
          <w:b/>
          <w:lang w:val="en-US"/>
        </w:rPr>
        <w:t>staff</w:t>
      </w:r>
      <w:r w:rsidRPr="00B36542">
        <w:rPr>
          <w:b/>
          <w:lang w:val="en-US"/>
        </w:rPr>
        <w:t xml:space="preserve"> to work in groups </w:t>
      </w:r>
      <w:r w:rsidRPr="009854D8">
        <w:rPr>
          <w:lang w:val="en-US"/>
        </w:rPr>
        <w:t>and devise an activity for grammar in context which would suit the cognitive maturity and interest o</w:t>
      </w:r>
      <w:r w:rsidR="00E45D72" w:rsidRPr="009854D8">
        <w:rPr>
          <w:lang w:val="en-US"/>
        </w:rPr>
        <w:t xml:space="preserve">f a defined group of students. </w:t>
      </w:r>
      <w:r w:rsidRPr="009854D8">
        <w:rPr>
          <w:lang w:val="en-US"/>
        </w:rPr>
        <w:t>They should decide:</w:t>
      </w:r>
    </w:p>
    <w:p w:rsidR="00622220" w:rsidRPr="009854D8" w:rsidRDefault="009854D8" w:rsidP="00622220">
      <w:pPr>
        <w:pStyle w:val="06Body"/>
        <w:numPr>
          <w:ilvl w:val="0"/>
          <w:numId w:val="8"/>
        </w:numPr>
        <w:ind w:left="284" w:hanging="284"/>
      </w:pPr>
      <w:r w:rsidRPr="009854D8">
        <w:t>The g</w:t>
      </w:r>
      <w:r w:rsidR="00622220" w:rsidRPr="009854D8">
        <w:t>rammar point to be taught</w:t>
      </w:r>
    </w:p>
    <w:p w:rsidR="00622220" w:rsidRPr="009854D8" w:rsidRDefault="00622220" w:rsidP="00622220">
      <w:pPr>
        <w:pStyle w:val="06Body"/>
        <w:numPr>
          <w:ilvl w:val="0"/>
          <w:numId w:val="8"/>
        </w:numPr>
        <w:ind w:left="284" w:hanging="284"/>
      </w:pPr>
      <w:r w:rsidRPr="009854D8">
        <w:t>How they would teach this using pre-communicative activities</w:t>
      </w:r>
    </w:p>
    <w:p w:rsidR="00622220" w:rsidRPr="009854D8" w:rsidRDefault="00622220" w:rsidP="00622220">
      <w:pPr>
        <w:pStyle w:val="06Body"/>
        <w:numPr>
          <w:ilvl w:val="0"/>
          <w:numId w:val="8"/>
        </w:numPr>
        <w:ind w:left="284" w:hanging="284"/>
      </w:pPr>
      <w:r w:rsidRPr="009854D8">
        <w:t>What the final ‘product’ would be</w:t>
      </w:r>
    </w:p>
    <w:p w:rsidR="00622220" w:rsidRPr="009854D8" w:rsidRDefault="00622220" w:rsidP="00622220">
      <w:pPr>
        <w:pStyle w:val="06Body"/>
        <w:numPr>
          <w:ilvl w:val="0"/>
          <w:numId w:val="8"/>
        </w:numPr>
        <w:ind w:left="284" w:hanging="284"/>
      </w:pPr>
      <w:r w:rsidRPr="009854D8">
        <w:t>How they would support weaker students whilst allowing scope for more able students</w:t>
      </w:r>
    </w:p>
    <w:p w:rsidR="00622220" w:rsidRPr="009854D8" w:rsidRDefault="00622220" w:rsidP="00622220">
      <w:pPr>
        <w:pStyle w:val="06Body"/>
        <w:numPr>
          <w:ilvl w:val="0"/>
          <w:numId w:val="8"/>
        </w:numPr>
        <w:ind w:left="284" w:hanging="284"/>
      </w:pPr>
      <w:r w:rsidRPr="009854D8">
        <w:t>What the success criteria for the activity would be</w:t>
      </w:r>
    </w:p>
    <w:p w:rsidR="00622220" w:rsidRPr="005C31CE" w:rsidRDefault="00622220" w:rsidP="00622220">
      <w:pPr>
        <w:pStyle w:val="05SubHead"/>
      </w:pPr>
      <w:r>
        <w:t>Suggested further reading</w:t>
      </w:r>
    </w:p>
    <w:p w:rsidR="00622220" w:rsidRPr="00346FEC" w:rsidRDefault="00622220" w:rsidP="00622220">
      <w:pPr>
        <w:pStyle w:val="06Body"/>
        <w:rPr>
          <w:b/>
        </w:rPr>
      </w:pPr>
      <w:r w:rsidRPr="00346FEC">
        <w:rPr>
          <w:b/>
        </w:rPr>
        <w:t>Written from an EFL perspective, a little dated, but interesting:</w:t>
      </w:r>
    </w:p>
    <w:p w:rsidR="00622220" w:rsidRPr="00146660" w:rsidRDefault="00622220" w:rsidP="00146660">
      <w:pPr>
        <w:pStyle w:val="06Body"/>
      </w:pPr>
      <w:proofErr w:type="spellStart"/>
      <w:r w:rsidRPr="00346FEC">
        <w:t>Nunan</w:t>
      </w:r>
      <w:proofErr w:type="spellEnd"/>
      <w:r w:rsidR="007A01E6">
        <w:t>,</w:t>
      </w:r>
      <w:r w:rsidRPr="00346FEC">
        <w:t xml:space="preserve"> D. (1998) </w:t>
      </w:r>
      <w:r w:rsidRPr="00346FEC">
        <w:rPr>
          <w:i/>
          <w:iCs/>
        </w:rPr>
        <w:t>Teaching Grammar in Context</w:t>
      </w:r>
      <w:r w:rsidRPr="00346FEC">
        <w:t>:</w:t>
      </w:r>
      <w:r w:rsidRPr="0095371E">
        <w:t xml:space="preserve"> </w:t>
      </w:r>
      <w:r w:rsidRPr="0095371E">
        <w:rPr>
          <w:color w:val="3366FF"/>
          <w:u w:val="single"/>
        </w:rPr>
        <w:t>203.72.145.166/ELT/files/52-2-1.pdf</w:t>
      </w:r>
    </w:p>
    <w:p w:rsidR="00622220" w:rsidRPr="00346FEC" w:rsidRDefault="00622220" w:rsidP="00622220">
      <w:pPr>
        <w:pStyle w:val="06Body"/>
        <w:rPr>
          <w:b/>
        </w:rPr>
      </w:pPr>
      <w:r w:rsidRPr="00346FEC">
        <w:rPr>
          <w:b/>
        </w:rPr>
        <w:t>An old stalwart – but still with something to say</w:t>
      </w:r>
      <w:proofErr w:type="gramStart"/>
      <w:r w:rsidR="007A01E6">
        <w:rPr>
          <w:b/>
        </w:rPr>
        <w:t>!</w:t>
      </w:r>
      <w:r w:rsidR="00E45D72">
        <w:rPr>
          <w:b/>
        </w:rPr>
        <w:t>:</w:t>
      </w:r>
      <w:proofErr w:type="gramEnd"/>
    </w:p>
    <w:p w:rsidR="00CC5692" w:rsidRPr="00913C55" w:rsidRDefault="00622220" w:rsidP="00622220">
      <w:pPr>
        <w:pStyle w:val="06Body"/>
        <w:rPr>
          <w:color w:val="000000"/>
        </w:rPr>
      </w:pPr>
      <w:proofErr w:type="spellStart"/>
      <w:proofErr w:type="gramStart"/>
      <w:r w:rsidRPr="00346FEC">
        <w:t>Littlewood</w:t>
      </w:r>
      <w:proofErr w:type="spellEnd"/>
      <w:r w:rsidR="007A01E6">
        <w:t>,</w:t>
      </w:r>
      <w:r w:rsidRPr="00346FEC">
        <w:t xml:space="preserve"> D. (1983) </w:t>
      </w:r>
      <w:r w:rsidRPr="00346FEC">
        <w:rPr>
          <w:i/>
          <w:iCs/>
        </w:rPr>
        <w:t xml:space="preserve">Communicative Language Teaching: an Introduction </w:t>
      </w:r>
      <w:r w:rsidRPr="00346FEC">
        <w:t>(Cambridge University Press)</w:t>
      </w:r>
      <w:r w:rsidRPr="00B36542">
        <w:rPr>
          <w:lang w:val="en-US"/>
        </w:rPr>
        <w:t>.</w:t>
      </w:r>
      <w:bookmarkStart w:id="0" w:name="_GoBack"/>
      <w:bookmarkEnd w:id="0"/>
      <w:proofErr w:type="gramEnd"/>
    </w:p>
    <w:sectPr w:rsidR="00CC5692" w:rsidRPr="00913C55" w:rsidSect="00622220">
      <w:headerReference w:type="default" r:id="rId15"/>
      <w:pgSz w:w="11900" w:h="16840"/>
      <w:pgMar w:top="1701" w:right="1800" w:bottom="993"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5E" w:rsidRDefault="0019765E">
      <w:pPr>
        <w:spacing w:after="0" w:line="240" w:lineRule="auto"/>
      </w:pPr>
      <w:r>
        <w:separator/>
      </w:r>
    </w:p>
  </w:endnote>
  <w:endnote w:type="continuationSeparator" w:id="0">
    <w:p w:rsidR="0019765E" w:rsidRDefault="0019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95D" w:rsidRDefault="00031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20" w:rsidRDefault="0019765E" w:rsidP="006854FE">
    <w:pPr>
      <w:pStyle w:val="Footer"/>
      <w:ind w:left="-657"/>
      <w:rPr>
        <w:rFonts w:cs="Arial"/>
        <w:sz w:val="14"/>
        <w:szCs w:val="14"/>
        <w:lang w:val="en-US"/>
      </w:rPr>
    </w:pPr>
    <w:hyperlink r:id="rId1" w:history="1">
      <w:r w:rsidR="00622220" w:rsidRPr="003D769D">
        <w:rPr>
          <w:rStyle w:val="Hyperlink"/>
          <w:rFonts w:cs="Arial"/>
          <w:sz w:val="14"/>
          <w:szCs w:val="14"/>
          <w:lang w:val="en-US"/>
        </w:rPr>
        <w:t xml:space="preserve">Produced by </w:t>
      </w:r>
      <w:proofErr w:type="spellStart"/>
      <w:r w:rsidR="00622220" w:rsidRPr="003D769D">
        <w:rPr>
          <w:rStyle w:val="Hyperlink"/>
          <w:rFonts w:cs="Arial"/>
          <w:sz w:val="14"/>
          <w:szCs w:val="14"/>
          <w:lang w:val="en-US"/>
        </w:rPr>
        <w:t>CfBT</w:t>
      </w:r>
      <w:proofErr w:type="spellEnd"/>
      <w:r w:rsidR="00622220" w:rsidRPr="003D769D">
        <w:rPr>
          <w:rStyle w:val="Hyperlink"/>
          <w:rFonts w:cs="Arial"/>
          <w:sz w:val="14"/>
          <w:szCs w:val="14"/>
          <w:lang w:val="en-US"/>
        </w:rPr>
        <w:t xml:space="preserve"> Education Trust on behalf of the Department for Education</w:t>
      </w:r>
    </w:hyperlink>
  </w:p>
  <w:p w:rsidR="00622220" w:rsidRPr="00E4753B" w:rsidRDefault="00622220" w:rsidP="00A853F9">
    <w:pPr>
      <w:pStyle w:val="Footer"/>
      <w:tabs>
        <w:tab w:val="clear" w:pos="4820"/>
        <w:tab w:val="center" w:pos="4193"/>
      </w:tabs>
      <w:ind w:left="-657"/>
    </w:pPr>
    <w:r>
      <w:t>© Crown copyright 2012</w:t>
    </w:r>
    <w:r w:rsidRPr="00E4753B">
      <w:tab/>
    </w:r>
    <w:r w:rsidR="00D138C6">
      <w:fldChar w:fldCharType="begin"/>
    </w:r>
    <w:r w:rsidR="00D138C6">
      <w:instrText xml:space="preserve"> PAGE  \* MERGEFORMAT </w:instrText>
    </w:r>
    <w:r w:rsidR="00D138C6">
      <w:fldChar w:fldCharType="separate"/>
    </w:r>
    <w:r w:rsidR="00B442AE">
      <w:rPr>
        <w:noProof/>
      </w:rPr>
      <w:t>4</w:t>
    </w:r>
    <w:r w:rsidR="00D138C6">
      <w:rPr>
        <w:noProof/>
      </w:rPr>
      <w:fldChar w:fldCharType="end"/>
    </w:r>
    <w:r w:rsidRPr="00E4753B">
      <w:t xml:space="preserve"> of </w:t>
    </w:r>
    <w:r w:rsidR="0019765E">
      <w:fldChar w:fldCharType="begin"/>
    </w:r>
    <w:r w:rsidR="0019765E">
      <w:instrText xml:space="preserve"> NUMPAGES  \* MERGEFO</w:instrText>
    </w:r>
    <w:r w:rsidR="0019765E">
      <w:instrText xml:space="preserve">RMAT </w:instrText>
    </w:r>
    <w:r w:rsidR="0019765E">
      <w:fldChar w:fldCharType="separate"/>
    </w:r>
    <w:r w:rsidR="00B442AE">
      <w:rPr>
        <w:noProof/>
      </w:rPr>
      <w:t>4</w:t>
    </w:r>
    <w:r w:rsidR="0019765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95D" w:rsidRDefault="00031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5E" w:rsidRDefault="0019765E">
      <w:pPr>
        <w:spacing w:after="0" w:line="240" w:lineRule="auto"/>
      </w:pPr>
      <w:r>
        <w:separator/>
      </w:r>
    </w:p>
  </w:footnote>
  <w:footnote w:type="continuationSeparator" w:id="0">
    <w:p w:rsidR="0019765E" w:rsidRDefault="00197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95D" w:rsidRDefault="000319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20" w:rsidRDefault="00622220">
    <w:pPr>
      <w:pStyle w:val="Header"/>
    </w:pPr>
    <w:r>
      <w:rPr>
        <w:noProof/>
        <w:lang w:eastAsia="en-GB"/>
      </w:rPr>
      <w:drawing>
        <wp:anchor distT="0" distB="0" distL="114300" distR="114300" simplePos="0" relativeHeight="251688448" behindDoc="1" locked="0" layoutInCell="1" allowOverlap="1">
          <wp:simplePos x="0" y="0"/>
          <wp:positionH relativeFrom="column">
            <wp:posOffset>-1143000</wp:posOffset>
          </wp:positionH>
          <wp:positionV relativeFrom="paragraph">
            <wp:posOffset>-449580</wp:posOffset>
          </wp:positionV>
          <wp:extent cx="7560000" cy="10691952"/>
          <wp:effectExtent l="0" t="0" r="9525"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sidR="0019765E">
      <w:rPr>
        <w:noProof/>
        <w:lang w:val="en-US"/>
      </w:rPr>
      <w:pict>
        <v:shapetype id="_x0000_t202" coordsize="21600,21600" o:spt="202" path="m,l,21600r21600,l21600,xe">
          <v:stroke joinstyle="miter"/>
          <v:path gradientshapeok="t" o:connecttype="rect"/>
        </v:shapetype>
        <v:shape id="Text Box 26" o:spid="_x0000_s2048" type="#_x0000_t202" style="position:absolute;left:0;text-align:left;margin-left:243.75pt;margin-top:9.8pt;width:136.05pt;height:28.5pt;z-index:2516741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style="mso-next-textbox:#Text Box 26" inset=",7.2pt,,7.2pt">
            <w:txbxContent>
              <w:p w:rsidR="00622220" w:rsidRPr="00501080" w:rsidRDefault="00622220"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rsidR="00622220" w:rsidRDefault="00622220" w:rsidP="003C3D47"/>
            </w:txbxContent>
          </v:textbox>
          <w10:wrap type="through"/>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20" w:rsidRPr="001511B2" w:rsidRDefault="00622220">
    <w:pPr>
      <w:pStyle w:val="Header"/>
    </w:pPr>
    <w:r>
      <w:rPr>
        <w:noProof/>
        <w:lang w:eastAsia="en-GB"/>
      </w:rPr>
      <w:drawing>
        <wp:anchor distT="0" distB="0" distL="114300" distR="114300" simplePos="0" relativeHeight="251702784" behindDoc="1" locked="0" layoutInCell="1" allowOverlap="1">
          <wp:simplePos x="0" y="0"/>
          <wp:positionH relativeFrom="column">
            <wp:posOffset>-1143000</wp:posOffset>
          </wp:positionH>
          <wp:positionV relativeFrom="paragraph">
            <wp:posOffset>-449580</wp:posOffset>
          </wp:positionV>
          <wp:extent cx="7558138" cy="10692000"/>
          <wp:effectExtent l="0" t="0" r="1143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softHyphen/>
    </w:r>
    <w:r>
      <w:softHyphen/>
    </w:r>
    <w:r>
      <w:softHyphen/>
    </w:r>
    <w:r>
      <w:softHyphen/>
    </w:r>
    <w:r>
      <w:softHyphen/>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622220" w:rsidTr="007F7178">
      <w:trPr>
        <w:trHeight w:val="612"/>
      </w:trPr>
      <w:tc>
        <w:tcPr>
          <w:tcW w:w="1654" w:type="dxa"/>
          <w:vAlign w:val="bottom"/>
        </w:tcPr>
        <w:p w:rsidR="00622220" w:rsidRPr="0003195D" w:rsidRDefault="00622220" w:rsidP="007F7178">
          <w:pPr>
            <w:pStyle w:val="Bulletpoints"/>
            <w:framePr w:hSpace="0" w:wrap="auto" w:vAnchor="margin" w:xAlign="left" w:yAlign="inline"/>
            <w:rPr>
              <w:sz w:val="16"/>
              <w:szCs w:val="16"/>
            </w:rPr>
          </w:pPr>
          <w:r w:rsidRPr="0003195D">
            <w:rPr>
              <w:sz w:val="16"/>
              <w:szCs w:val="16"/>
            </w:rPr>
            <w:t>GM2</w:t>
          </w:r>
        </w:p>
      </w:tc>
      <w:tc>
        <w:tcPr>
          <w:tcW w:w="285" w:type="dxa"/>
          <w:vAlign w:val="center"/>
        </w:tcPr>
        <w:p w:rsidR="00622220" w:rsidRPr="0003195D" w:rsidRDefault="00622220" w:rsidP="007F7178">
          <w:pPr>
            <w:pStyle w:val="Header"/>
            <w:spacing w:before="80" w:after="80" w:line="240" w:lineRule="auto"/>
            <w:ind w:left="0"/>
            <w:rPr>
              <w:sz w:val="16"/>
              <w:szCs w:val="16"/>
            </w:rPr>
          </w:pPr>
        </w:p>
      </w:tc>
      <w:tc>
        <w:tcPr>
          <w:tcW w:w="1649" w:type="dxa"/>
          <w:vAlign w:val="bottom"/>
        </w:tcPr>
        <w:p w:rsidR="00622220" w:rsidRPr="0003195D" w:rsidRDefault="00622220" w:rsidP="007F7178">
          <w:pPr>
            <w:pStyle w:val="Bulletpoints"/>
            <w:framePr w:hSpace="0" w:wrap="auto" w:vAnchor="margin" w:xAlign="left" w:yAlign="inline"/>
            <w:rPr>
              <w:sz w:val="16"/>
              <w:szCs w:val="16"/>
            </w:rPr>
          </w:pPr>
          <w:r w:rsidRPr="0003195D">
            <w:rPr>
              <w:sz w:val="16"/>
              <w:szCs w:val="16"/>
            </w:rPr>
            <w:t>2</w:t>
          </w:r>
        </w:p>
      </w:tc>
      <w:tc>
        <w:tcPr>
          <w:tcW w:w="3750" w:type="dxa"/>
          <w:vAlign w:val="bottom"/>
        </w:tcPr>
        <w:p w:rsidR="00622220" w:rsidRPr="0003195D" w:rsidRDefault="007F7178" w:rsidP="009C35B0">
          <w:pPr>
            <w:pStyle w:val="Bulletpoints"/>
            <w:framePr w:hSpace="0" w:wrap="auto" w:vAnchor="margin" w:xAlign="left" w:yAlign="inline"/>
            <w:rPr>
              <w:sz w:val="16"/>
              <w:szCs w:val="16"/>
            </w:rPr>
          </w:pPr>
          <w:r w:rsidRPr="0003195D">
            <w:rPr>
              <w:sz w:val="16"/>
              <w:szCs w:val="16"/>
            </w:rPr>
            <w:t>T</w:t>
          </w:r>
          <w:r w:rsidR="009C35B0" w:rsidRPr="0003195D">
            <w:rPr>
              <w:sz w:val="16"/>
              <w:szCs w:val="16"/>
            </w:rPr>
            <w:t>he W</w:t>
          </w:r>
          <w:r w:rsidR="00A35573" w:rsidRPr="0003195D">
            <w:rPr>
              <w:sz w:val="16"/>
              <w:szCs w:val="16"/>
            </w:rPr>
            <w:t xml:space="preserve">hy and </w:t>
          </w:r>
          <w:r w:rsidR="009C35B0" w:rsidRPr="0003195D">
            <w:rPr>
              <w:sz w:val="16"/>
              <w:szCs w:val="16"/>
            </w:rPr>
            <w:t>H</w:t>
          </w:r>
          <w:r w:rsidR="00A35573" w:rsidRPr="0003195D">
            <w:rPr>
              <w:sz w:val="16"/>
              <w:szCs w:val="16"/>
            </w:rPr>
            <w:t xml:space="preserve">ow of </w:t>
          </w:r>
          <w:r w:rsidR="0003195D" w:rsidRPr="0003195D">
            <w:rPr>
              <w:sz w:val="16"/>
              <w:szCs w:val="16"/>
            </w:rPr>
            <w:t>g</w:t>
          </w:r>
          <w:r w:rsidR="00A35573" w:rsidRPr="0003195D">
            <w:rPr>
              <w:sz w:val="16"/>
              <w:szCs w:val="16"/>
            </w:rPr>
            <w:t xml:space="preserve">rammar </w:t>
          </w:r>
          <w:r w:rsidR="0003195D" w:rsidRPr="0003195D">
            <w:rPr>
              <w:sz w:val="16"/>
              <w:szCs w:val="16"/>
            </w:rPr>
            <w:t>t</w:t>
          </w:r>
          <w:r w:rsidR="00A35573" w:rsidRPr="0003195D">
            <w:rPr>
              <w:sz w:val="16"/>
              <w:szCs w:val="16"/>
            </w:rPr>
            <w:t>eaching</w:t>
          </w:r>
        </w:p>
      </w:tc>
    </w:tr>
  </w:tbl>
  <w:p w:rsidR="00622220" w:rsidRDefault="00622220" w:rsidP="00EE0CE9">
    <w:pPr>
      <w:pStyle w:val="Header"/>
      <w:ind w:left="-709"/>
    </w:pPr>
    <w:r>
      <w:rPr>
        <w:noProof/>
        <w:lang w:eastAsia="en-GB"/>
      </w:rPr>
      <w:drawing>
        <wp:anchor distT="0" distB="0" distL="114300" distR="114300" simplePos="0" relativeHeight="251703808" behindDoc="1" locked="0" layoutInCell="1" allowOverlap="1">
          <wp:simplePos x="0" y="0"/>
          <wp:positionH relativeFrom="column">
            <wp:posOffset>-1143000</wp:posOffset>
          </wp:positionH>
          <wp:positionV relativeFrom="paragraph">
            <wp:posOffset>-348790</wp:posOffset>
          </wp:positionV>
          <wp:extent cx="7557149"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42"/>
    <w:multiLevelType w:val="hybridMultilevel"/>
    <w:tmpl w:val="125EE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708BF"/>
    <w:multiLevelType w:val="hybridMultilevel"/>
    <w:tmpl w:val="53EC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757E1"/>
    <w:multiLevelType w:val="hybridMultilevel"/>
    <w:tmpl w:val="4CDE3C90"/>
    <w:lvl w:ilvl="0" w:tplc="A8D47078">
      <w:start w:val="1"/>
      <w:numFmt w:val="bullet"/>
      <w:lvlText w:val=""/>
      <w:lvlJc w:val="left"/>
      <w:pPr>
        <w:ind w:left="873" w:hanging="360"/>
      </w:pPr>
      <w:rPr>
        <w:rFonts w:ascii="Zapf Dingbats" w:hAnsi="Zapf Dingbat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30A5620B"/>
    <w:multiLevelType w:val="hybridMultilevel"/>
    <w:tmpl w:val="285E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5">
    <w:nsid w:val="44536C56"/>
    <w:multiLevelType w:val="hybridMultilevel"/>
    <w:tmpl w:val="F72ACE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672C4F69"/>
    <w:multiLevelType w:val="hybridMultilevel"/>
    <w:tmpl w:val="4CDE3C90"/>
    <w:lvl w:ilvl="0" w:tplc="A8D47078">
      <w:start w:val="1"/>
      <w:numFmt w:val="bullet"/>
      <w:lvlText w:val=""/>
      <w:lvlJc w:val="left"/>
      <w:pPr>
        <w:ind w:left="87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70AA09A1"/>
    <w:multiLevelType w:val="hybridMultilevel"/>
    <w:tmpl w:val="4EF21EB8"/>
    <w:lvl w:ilvl="0" w:tplc="A8D47078">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4972"/>
    <w:rsid w:val="0003195D"/>
    <w:rsid w:val="0004631D"/>
    <w:rsid w:val="000A6F82"/>
    <w:rsid w:val="000F6093"/>
    <w:rsid w:val="00146660"/>
    <w:rsid w:val="001511B2"/>
    <w:rsid w:val="0019765E"/>
    <w:rsid w:val="00197726"/>
    <w:rsid w:val="00197ECA"/>
    <w:rsid w:val="00256F47"/>
    <w:rsid w:val="002625CF"/>
    <w:rsid w:val="0026298E"/>
    <w:rsid w:val="00293A34"/>
    <w:rsid w:val="002C4B32"/>
    <w:rsid w:val="002D0DC0"/>
    <w:rsid w:val="00324BE0"/>
    <w:rsid w:val="0036173B"/>
    <w:rsid w:val="003C3D47"/>
    <w:rsid w:val="003D769D"/>
    <w:rsid w:val="00413071"/>
    <w:rsid w:val="00426E87"/>
    <w:rsid w:val="00495CD1"/>
    <w:rsid w:val="004D4BA5"/>
    <w:rsid w:val="004D59C4"/>
    <w:rsid w:val="00501080"/>
    <w:rsid w:val="005F2D93"/>
    <w:rsid w:val="00622220"/>
    <w:rsid w:val="00664332"/>
    <w:rsid w:val="006854FE"/>
    <w:rsid w:val="006D34B0"/>
    <w:rsid w:val="006F7350"/>
    <w:rsid w:val="007301D6"/>
    <w:rsid w:val="007A01E6"/>
    <w:rsid w:val="007F7178"/>
    <w:rsid w:val="00843AA4"/>
    <w:rsid w:val="008673CC"/>
    <w:rsid w:val="0088756A"/>
    <w:rsid w:val="008C1F1B"/>
    <w:rsid w:val="008C2CD5"/>
    <w:rsid w:val="008C7375"/>
    <w:rsid w:val="008E0679"/>
    <w:rsid w:val="00906642"/>
    <w:rsid w:val="00913C55"/>
    <w:rsid w:val="009522CA"/>
    <w:rsid w:val="00956CF6"/>
    <w:rsid w:val="00976166"/>
    <w:rsid w:val="009854D8"/>
    <w:rsid w:val="009A7B70"/>
    <w:rsid w:val="009B2341"/>
    <w:rsid w:val="009B4D65"/>
    <w:rsid w:val="009C35B0"/>
    <w:rsid w:val="009F2AEB"/>
    <w:rsid w:val="009F74DF"/>
    <w:rsid w:val="00A35573"/>
    <w:rsid w:val="00A570D8"/>
    <w:rsid w:val="00A853F9"/>
    <w:rsid w:val="00AF3F61"/>
    <w:rsid w:val="00AF4554"/>
    <w:rsid w:val="00B2214A"/>
    <w:rsid w:val="00B33826"/>
    <w:rsid w:val="00B424A3"/>
    <w:rsid w:val="00B442AE"/>
    <w:rsid w:val="00B5305E"/>
    <w:rsid w:val="00B86415"/>
    <w:rsid w:val="00B91E74"/>
    <w:rsid w:val="00BB1FD0"/>
    <w:rsid w:val="00BB4FEA"/>
    <w:rsid w:val="00C41AE5"/>
    <w:rsid w:val="00C46B4E"/>
    <w:rsid w:val="00C54972"/>
    <w:rsid w:val="00C56800"/>
    <w:rsid w:val="00CA0D3F"/>
    <w:rsid w:val="00CB23DA"/>
    <w:rsid w:val="00CC1E86"/>
    <w:rsid w:val="00CC5692"/>
    <w:rsid w:val="00CD69B5"/>
    <w:rsid w:val="00D03260"/>
    <w:rsid w:val="00D040BD"/>
    <w:rsid w:val="00D138C6"/>
    <w:rsid w:val="00D30F1F"/>
    <w:rsid w:val="00D85EFE"/>
    <w:rsid w:val="00DA6237"/>
    <w:rsid w:val="00E360E1"/>
    <w:rsid w:val="00E45D72"/>
    <w:rsid w:val="00E4753B"/>
    <w:rsid w:val="00E90CCC"/>
    <w:rsid w:val="00EA0F56"/>
    <w:rsid w:val="00EC757C"/>
    <w:rsid w:val="00ED1837"/>
    <w:rsid w:val="00EE0CE9"/>
    <w:rsid w:val="00F3384D"/>
    <w:rsid w:val="00FA7804"/>
    <w:rsid w:val="00FB4D0B"/>
    <w:rsid w:val="00FC0E5E"/>
    <w:rsid w:val="00FC2325"/>
    <w:rsid w:val="00FE1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2ae4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List Paragraph" w:uiPriority="99" w:qFormat="1"/>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7F7178"/>
    <w:pPr>
      <w:framePr w:hSpace="180" w:wrap="around" w:vAnchor="text" w:hAnchor="text" w:x="7" w:y="-129"/>
      <w:spacing w:before="80" w:after="8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99"/>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622220"/>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character" w:customStyle="1" w:styleId="body1">
    <w:name w:val="body1"/>
    <w:basedOn w:val="DefaultParagraphFont"/>
    <w:rsid w:val="0088756A"/>
    <w:rPr>
      <w:rFonts w:ascii="Verdana" w:hAnsi="Verdana" w:hint="default"/>
      <w:sz w:val="20"/>
      <w:szCs w:val="20"/>
    </w:rPr>
  </w:style>
  <w:style w:type="character" w:customStyle="1" w:styleId="bodybold1">
    <w:name w:val="bodybold1"/>
    <w:basedOn w:val="DefaultParagraphFont"/>
    <w:rsid w:val="0088756A"/>
    <w:rPr>
      <w:rFonts w:ascii="Verdana" w:hAnsi="Verdana"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ED"/>
    <w:pPr>
      <w:spacing w:after="74" w:line="280" w:lineRule="exact"/>
    </w:pPr>
    <w:rPr>
      <w:rFonts w:ascii="Arial" w:hAnsi="Arial"/>
      <w:szCs w:val="24"/>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sz w:val="24"/>
    </w:rPr>
  </w:style>
  <w:style w:type="paragraph" w:styleId="Heading8">
    <w:name w:val="heading 8"/>
    <w:basedOn w:val="Normal"/>
    <w:next w:val="Normal"/>
    <w:qFormat/>
    <w:rsid w:val="001C1EEC"/>
    <w:pPr>
      <w:spacing w:before="240" w:after="60"/>
      <w:outlineLvl w:val="7"/>
    </w:pPr>
    <w:rPr>
      <w:rFonts w:ascii="Times New Roman" w:hAnsi="Times New Roman"/>
      <w:i/>
      <w:sz w:val="24"/>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sz w:val="24"/>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sz w:val="24"/>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szCs w:val="24"/>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sz w:val="24"/>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CA0D3F"/>
    <w:pPr>
      <w:spacing w:line="36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1219-66D9-4C2A-85E3-0DCEE3CE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16</cp:revision>
  <cp:lastPrinted>2012-07-18T11:33:00Z</cp:lastPrinted>
  <dcterms:created xsi:type="dcterms:W3CDTF">2012-09-19T21:38:00Z</dcterms:created>
  <dcterms:modified xsi:type="dcterms:W3CDTF">2012-09-26T16:07:00Z</dcterms:modified>
</cp:coreProperties>
</file>